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张家口市宣化区人民检察院</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2024年部门预算绩效文本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张家口市宣化区人民检察院编制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张家口市财政局审核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1.罚没安排—智慧检务建设项目经费（宣化检察院）绩效目标表</w:t>
      </w:r>
      <w:r>
        <w:tab/>
      </w:r>
      <w:r>
        <w:fldChar w:fldCharType="begin"/>
      </w:r>
      <w:r>
        <w:instrText xml:space="preserve">PAGEREF _Toc_4_4_0000000004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2.聘用制书记员及其他人员保障经费（宣化检察院）绩效目标表</w:t>
      </w:r>
      <w:r>
        <w:tab/>
      </w:r>
      <w:r>
        <w:fldChar w:fldCharType="begin"/>
      </w:r>
      <w:r>
        <w:instrText xml:space="preserve">PAGEREF _Toc_4_4_0000000005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3.[13070023C000007000733]关于下达2023年中央政法纪检监察转移支付资金冀财政法（2023）25号绩效目标表</w:t>
      </w:r>
      <w:r>
        <w:tab/>
      </w:r>
      <w:r>
        <w:fldChar w:fldCharType="begin"/>
      </w:r>
      <w:r>
        <w:instrText xml:space="preserve">PAGEREF _Toc_4_4_0000000006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4.[13070023C000007000883]2023年度司法救助资金（宣化区人民检察院）绩效目标表</w:t>
      </w:r>
      <w:r>
        <w:tab/>
      </w:r>
      <w:r>
        <w:fldChar w:fldCharType="begin"/>
      </w:r>
      <w:r>
        <w:instrText xml:space="preserve">PAGEREF _Toc_4_4_0000000007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5.冀财政法[2023]49号—提前下达2024年中央政法纪检监察转移支付资金（宣化检察院）绩效目标表</w:t>
      </w:r>
      <w:r>
        <w:tab/>
      </w:r>
      <w:r>
        <w:fldChar w:fldCharType="begin"/>
      </w:r>
      <w:r>
        <w:instrText xml:space="preserve">PAGEREF _Toc_4_4_0000000008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6.冀财政法[2023]50号—提前下达2024年省级基层公检法司转移支付资金（宣化检察院）绩效目标表</w:t>
      </w:r>
      <w:r>
        <w:tab/>
      </w:r>
      <w:r>
        <w:fldChar w:fldCharType="begin"/>
      </w:r>
      <w:r>
        <w:instrText xml:space="preserve">PAGEREF _Toc_4_4_0000000009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7.提前下达2023年省级基层公检法司转移支付资金 省级冀财政法（2022）56号绩效目标表</w:t>
      </w:r>
      <w:r>
        <w:tab/>
      </w:r>
      <w:r>
        <w:fldChar w:fldCharType="begin"/>
      </w:r>
      <w:r>
        <w:instrText xml:space="preserve">PAGEREF _Toc_4_4_0000000010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8.提前下达2023年中央政法纪检监察转移支付资金中央冀财政法（2022）55号绩效目标表</w:t>
      </w:r>
      <w:r>
        <w:tab/>
      </w:r>
      <w:r>
        <w:fldChar w:fldCharType="begin"/>
      </w:r>
      <w:r>
        <w:instrText xml:space="preserve">PAGEREF _Toc_4_4_0000000011 \h</w:instrText>
      </w:r>
      <w:r>
        <w:fldChar w:fldCharType="separate"/>
      </w:r>
      <w:r>
        <w:t>14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坚持以习近平新时代中国特色社会主义思想尤其是习近平法治思想为指导，深入贯彻落实党的二十大精神和市委、区委及市检察院的各项工作部署，全面履行法律监督职责，以检察工作高质量发展，服务保障“十四五”时期全区经济社会发展。在保障人权、维护司法公正，加强法律监督工作，促进法治社会的建设。有效实施民事案件审判监督，维护司法公正和司法权威，保障国家法律的统一正确实施。保障刑罚执行和监管活动的依法有序进行。加强各项检察辅助职能，为检察业务提供有力保障。构建依法有序信访秩序，及时依法解决群众诉求。加强和改进举报工作，保护申诉人合法权益，保护被赔偿人和被救助人合法权益。提高执法水平和办案质量、提升检察机关法律监督能力。</w:t>
      </w:r>
    </w:p>
    <w:p>
      <w:pPr>
        <w:pStyle w:val="8"/>
      </w:pPr>
      <w:r>
        <w:t>1、综合运用检察职能，服务保障抢抓“三大机遇”。认真做好批捕、起诉、刑事诉讼监督等工作，坚决打击破坏国家安全和影响群众安全感的刑事犯罪。深入推进法律监督工作的创新发展，不断提高司法公信力，为保障京津冀协同发展，大力改善营商环境，提供公正透明的法治保证。</w:t>
      </w:r>
    </w:p>
    <w:p>
      <w:pPr>
        <w:pStyle w:val="8"/>
      </w:pPr>
      <w:r>
        <w:t>2、强化以人民群众为中心的理念，认真维护民生、民利，扎实做好民事行政审判监督工作，积极开展民事公益诉讼，运用检察职能保障乡村振兴任务落实。依法妥善处理涉及农民权益保护的案件，服务美丽乡村建设。</w:t>
      </w:r>
    </w:p>
    <w:p>
      <w:pPr>
        <w:pStyle w:val="8"/>
      </w:pPr>
      <w:r>
        <w:t>3、充分发挥刑事检察职能，深入开展平安张家口建设。贯认真彻宽严相济的刑事政策，严格依法打击暴力犯罪和多发性侵财犯罪，充分运用刑事和解、量刑建议、释法说理等多种手段促进矛盾化解，认真做好控告申诉工作，妥善处理涉检信访问题。</w:t>
      </w:r>
    </w:p>
    <w:p>
      <w:pPr>
        <w:pStyle w:val="8"/>
      </w:pPr>
      <w:r>
        <w:t>4、加大诉讼监督力度，努力促进司法公正。进一步加大刑事立案监督工作力度，加大对侦查活动、刑事审判监督工作，依法监督减刑、假释、暂予监外执行等活动。着眼新形势民行诉讼的特点和规律，深入推进多元化民行检察格局，进一步提升司法公信力。</w:t>
      </w:r>
    </w:p>
    <w:p>
      <w:pPr>
        <w:pStyle w:val="8"/>
      </w:pPr>
      <w:r>
        <w:t>5、进一步加强队伍政治思想和纪律作风建设，全面提高队伍战斗力。深入开展“不忘初心、牢记使命”</w:t>
      </w:r>
      <w:r>
        <w:rPr>
          <w:rFonts w:hint="eastAsia"/>
          <w:lang w:eastAsia="zh-CN"/>
        </w:rPr>
        <w:t>主</w:t>
      </w:r>
      <w:r>
        <w:t>题教育，认真整改司法不规范问题，坚持深化检务公开，提升检察公信力。建立检察官研修制度，深化业务实训，严肃检察纪律，认真落实“两个责任”，强化检察机关的素质和作风建设，树立检察机关的新形象。</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深入贯彻习近平新时代中国特色社会主义思想，深入贯彻党的路线方针和决策部署，坚持党对检察工作的绝对领导，坚决维护习近平总书记的核心地位，坚决维护党中央权威和集中统一领导。完成区委和区政府提出的工作要求和安排，接受区人</w:t>
      </w:r>
      <w:r>
        <w:rPr>
          <w:rFonts w:hint="eastAsia"/>
          <w:lang w:eastAsia="zh-CN"/>
        </w:rPr>
        <w:t>民</w:t>
      </w:r>
      <w:bookmarkStart w:id="11" w:name="_GoBack"/>
      <w:bookmarkEnd w:id="11"/>
      <w:r>
        <w:t>代表大会及其常务委员会的监督。</w:t>
      </w:r>
    </w:p>
    <w:p>
      <w:pPr>
        <w:pStyle w:val="9"/>
      </w:pPr>
      <w:r>
        <w:t>2、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pStyle w:val="9"/>
      </w:pPr>
      <w:r>
        <w:t>3、提高案件监督质量，尤其是抗诉和再审检察建议案件的质量；加大审判违法监督、执行监督和虚假诉讼监督规模和力度；参加业务培训活动，全面提升全省民事检察队伍的素质。</w:t>
      </w:r>
    </w:p>
    <w:p>
      <w:pPr>
        <w:pStyle w:val="9"/>
      </w:pPr>
    </w:p>
    <w:p>
      <w:pPr>
        <w:pStyle w:val="9"/>
      </w:pPr>
      <w:r>
        <w:t>4、依法打击侵犯公民财产权、人身权、扰乱社会秩序等各类刑事犯罪；深入推进扫黑除恶常态化斗争工作；持续做好认罪认罚从宽工作，不断提升办案质效；加强普通刑事犯罪检察人才队伍和工作机制建设。</w:t>
      </w:r>
    </w:p>
    <w:p>
      <w:pPr>
        <w:pStyle w:val="9"/>
      </w:pPr>
      <w:r>
        <w:t>5、加强侦查监督和审判监督，依法准确打击等各类犯罪；全力推进扫黑除恶常态化斗争，坚决完成市院提出的认罪认罚从宽案件适用率的目标不断提升监督质效，不断提升刑事案件办案质效。</w:t>
      </w:r>
    </w:p>
    <w:p>
      <w:pPr>
        <w:pStyle w:val="9"/>
      </w:pPr>
      <w:r>
        <w:t>6、加大办理公益诉讼案件力度，积极稳妥开展全区公益诉讼案件办理工作。加大公益诉讼宣传力度，扩大公众对公益诉讼检察的参与度，营造良好舆论氛围，构建社会共同治理。</w:t>
      </w:r>
    </w:p>
    <w:p>
      <w:pPr>
        <w:pStyle w:val="9"/>
      </w:pPr>
      <w:r>
        <w:t>绩效指标：加大对行政生效裁判监督、行政审判活动监督和行政执行活动监督力度，提升监督质效，扎实开展行政争议实质性化解工作。积极稳妥开展行政违法行为监督工作，促进依法行政和法治政府建设。参加上级院行政检察业务培训班，切实提升行政检察队伍整体素质和法律监督能力。加大宣传力度，集中开展行政检察工作宣传进社区，进一步提高行政检察工作的社会认知度。</w:t>
      </w:r>
    </w:p>
    <w:p>
      <w:pPr>
        <w:pStyle w:val="9"/>
      </w:pPr>
      <w:r>
        <w:t>7、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继续按照高检院要求落实未检业务集中办理工作。</w:t>
      </w:r>
    </w:p>
    <w:p>
      <w:pPr>
        <w:pStyle w:val="9"/>
      </w:pPr>
      <w:r>
        <w:t>8、进一步提高刑事申诉案件受理审查、移转效率，严格遵守法定程序和期限审查刑事申诉案件；群众信访工作能力和水平整体增强；国家司法救助工作进一步完善，扩大国家司法救助覆盖面。</w:t>
      </w:r>
    </w:p>
    <w:p>
      <w:pPr>
        <w:pStyle w:val="9"/>
      </w:pPr>
      <w:r>
        <w:t>9、承办上级检察院交办以及其他应由宣化区人民检察院承办的事项。</w:t>
      </w:r>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加强组织领导，高度重视预算绩效管理工作，加强对预算绩效管理的组织领导，切实转变思想观念，牢固树立预算意识，理顺内部工作机制，精心组织，扎实推进，及时研究预算执行过程中出现的问题，督促指导有关政策措施的落实，确保绩效目标顺利实现。</w:t>
      </w:r>
    </w:p>
    <w:p>
      <w:pPr>
        <w:pStyle w:val="10"/>
      </w:pPr>
      <w:r>
        <w:t>2、作为法律监督机关,在管辖区域内依法行使检察权。通过申请部门经费，保证机关正常运转，保障各项检察业务工作有序开展。深入学习贯彻习近平新时代中国特色社会主义思想，完善联系群众、服务群众法律讲堂进校园等机制；公开办案程序，以公开促规范，以规范赢公信，接受当事人及社会各界监督，办实案；检务信息公开12309推出加快了阳光检务的推进；坚持业务立检，开展多种形式的教育培训，提高干警队伍依法履职及专业技能水平；推进规范和标准体系建设，健全监督制约机制，明确执法操作规程，办案工作精细化，增强透明度和公信力。科技装备适度超前，保障办案办公信息化建设。</w:t>
      </w:r>
    </w:p>
    <w:p>
      <w:pPr>
        <w:pStyle w:val="10"/>
      </w:pPr>
      <w:r>
        <w:t>3、加强各项检察辅助职能，为检察业务提供有力保障。构建依法有序信访秩序，及时依法解决群众诉求。加强和改进举报工作，保护申诉人合法权益，保护被赔偿人和被救助人合法权益。</w:t>
      </w:r>
    </w:p>
    <w:p>
      <w:pPr>
        <w:pStyle w:val="10"/>
      </w:pPr>
      <w:r>
        <w:t>4、提高执法水平和办案质量、提升检察机关法律监督能力。我院为深入贯彻落实中共中央、国务院《关于全面实施预算绩效管理意见》、市委、市政府《关于印发&lt;张家口市全面实施预算绩效管理推进方案的通知&gt;》的要求，院领导高度重视，加强预算管理，严格执行预算，统筹安排，节约使用各项资金；完善内部财务管理制度和内控制度对我院财务活动进行控制和监督；掌握进度保证用款根据年度预算安排和项目实施进度认真编制用款计划及时提出支付申请。</w:t>
      </w:r>
    </w:p>
    <w:p>
      <w:pPr>
        <w:pStyle w:val="10"/>
      </w:pPr>
      <w:r>
        <w:t>5、通过实施全方位监控，预算执行情况及绩效目标指标实现程度，进一步规范和加强我院预算绩效运行监控管理，完善预算绩效全过程管理机制，提高财政资金使用绩效。对偏离绩效目标的情况及时采取纠偏措施，确保绩效目标按期实现，逐步实现同预算执行管理的有机结合，不断提高预算执行的均衡性、科学性水平。</w:t>
      </w:r>
    </w:p>
    <w:p>
      <w:pPr>
        <w:pStyle w:val="10"/>
      </w:pP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1.罚没安排—智慧检务建设项目经费（宣化检察院）绩效目标表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13070024P000485100019</w:t>
            </w:r>
          </w:p>
        </w:tc>
        <w:tc>
          <w:tcPr>
            <w:tcW w:w="1587" w:type="dxa"/>
            <w:vAlign w:val="center"/>
          </w:tcPr>
          <w:p>
            <w:pPr>
              <w:pStyle w:val="14"/>
            </w:pPr>
            <w:r>
              <w:t>项目名称</w:t>
            </w:r>
          </w:p>
        </w:tc>
        <w:tc>
          <w:tcPr>
            <w:tcW w:w="4422" w:type="dxa"/>
            <w:gridSpan w:val="3"/>
            <w:vAlign w:val="center"/>
          </w:tcPr>
          <w:p>
            <w:pPr>
              <w:pStyle w:val="13"/>
            </w:pPr>
            <w:r>
              <w:t>罚没安排—智慧检务建设项目经费（宣化检察院）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178.45</w:t>
            </w:r>
          </w:p>
        </w:tc>
        <w:tc>
          <w:tcPr>
            <w:tcW w:w="1587" w:type="dxa"/>
            <w:vAlign w:val="center"/>
          </w:tcPr>
          <w:p>
            <w:pPr>
              <w:pStyle w:val="14"/>
            </w:pPr>
            <w:r>
              <w:t>其中：财政    资金</w:t>
            </w:r>
          </w:p>
        </w:tc>
        <w:tc>
          <w:tcPr>
            <w:tcW w:w="1304" w:type="dxa"/>
            <w:vAlign w:val="center"/>
          </w:tcPr>
          <w:p>
            <w:pPr>
              <w:pStyle w:val="13"/>
            </w:pPr>
            <w:r>
              <w:t>178.45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通过建设智慧检务系统办公办案手段信息化建设，促进检察工作科学发展，提高办案办公工作效率和质量。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 xml:space="preserve">1.通过信息化建设和应用的项目建设，为案件侦破提供必要的设备，提升履行法律监督职责能力，推动检察工作转型升级，提高办案效率。    </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办理各类案件数量</w:t>
            </w:r>
          </w:p>
        </w:tc>
        <w:tc>
          <w:tcPr>
            <w:tcW w:w="2891" w:type="dxa"/>
            <w:vAlign w:val="center"/>
          </w:tcPr>
          <w:p>
            <w:pPr>
              <w:pStyle w:val="13"/>
            </w:pPr>
            <w:r>
              <w:t>办理各类案件数量</w:t>
            </w:r>
          </w:p>
        </w:tc>
        <w:tc>
          <w:tcPr>
            <w:tcW w:w="1276" w:type="dxa"/>
            <w:vAlign w:val="center"/>
          </w:tcPr>
          <w:p>
            <w:pPr>
              <w:pStyle w:val="13"/>
            </w:pPr>
            <w:r>
              <w:t>≥200件</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项目建设质量</w:t>
            </w:r>
          </w:p>
        </w:tc>
        <w:tc>
          <w:tcPr>
            <w:tcW w:w="2891" w:type="dxa"/>
            <w:vAlign w:val="center"/>
          </w:tcPr>
          <w:p>
            <w:pPr>
              <w:pStyle w:val="13"/>
            </w:pPr>
            <w:r>
              <w:t>按照行业标准质量完成建设</w:t>
            </w:r>
          </w:p>
        </w:tc>
        <w:tc>
          <w:tcPr>
            <w:tcW w:w="1276" w:type="dxa"/>
            <w:vAlign w:val="center"/>
          </w:tcPr>
          <w:p>
            <w:pPr>
              <w:pStyle w:val="13"/>
            </w:pPr>
            <w:r>
              <w:t>验收合格</w:t>
            </w:r>
          </w:p>
        </w:tc>
        <w:tc>
          <w:tcPr>
            <w:tcW w:w="1843"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支付及时率</w:t>
            </w:r>
          </w:p>
        </w:tc>
        <w:tc>
          <w:tcPr>
            <w:tcW w:w="2891" w:type="dxa"/>
            <w:vAlign w:val="center"/>
          </w:tcPr>
          <w:p>
            <w:pPr>
              <w:pStyle w:val="13"/>
            </w:pPr>
            <w:r>
              <w:t>在规定时间内完成资金支付</w:t>
            </w:r>
          </w:p>
        </w:tc>
        <w:tc>
          <w:tcPr>
            <w:tcW w:w="1276" w:type="dxa"/>
            <w:vAlign w:val="center"/>
          </w:tcPr>
          <w:p>
            <w:pPr>
              <w:pStyle w:val="13"/>
            </w:pPr>
            <w:r>
              <w:t>≥90百分比</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采购成本</w:t>
            </w:r>
          </w:p>
        </w:tc>
        <w:tc>
          <w:tcPr>
            <w:tcW w:w="2891" w:type="dxa"/>
            <w:vAlign w:val="center"/>
          </w:tcPr>
          <w:p>
            <w:pPr>
              <w:pStyle w:val="13"/>
            </w:pPr>
            <w:r>
              <w:t>采购成本</w:t>
            </w:r>
          </w:p>
        </w:tc>
        <w:tc>
          <w:tcPr>
            <w:tcW w:w="1276" w:type="dxa"/>
            <w:vAlign w:val="center"/>
          </w:tcPr>
          <w:p>
            <w:pPr>
              <w:pStyle w:val="13"/>
            </w:pPr>
            <w:r>
              <w:t>≤178.45万元</w:t>
            </w:r>
          </w:p>
        </w:tc>
        <w:tc>
          <w:tcPr>
            <w:tcW w:w="1843" w:type="dxa"/>
            <w:vAlign w:val="center"/>
          </w:tcPr>
          <w:p>
            <w:pPr>
              <w:pStyle w:val="13"/>
            </w:pPr>
            <w:r>
              <w:t>符合成本标准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社会效益指标</w:t>
            </w:r>
          </w:p>
        </w:tc>
        <w:tc>
          <w:tcPr>
            <w:tcW w:w="2891" w:type="dxa"/>
            <w:vAlign w:val="center"/>
          </w:tcPr>
          <w:p>
            <w:pPr>
              <w:pStyle w:val="13"/>
            </w:pPr>
            <w:r>
              <w:t>化解社会矛盾，为经济社会发展提供良好环境</w:t>
            </w:r>
          </w:p>
        </w:tc>
        <w:tc>
          <w:tcPr>
            <w:tcW w:w="1276" w:type="dxa"/>
            <w:vAlign w:val="center"/>
          </w:tcPr>
          <w:p>
            <w:pPr>
              <w:pStyle w:val="13"/>
            </w:pPr>
            <w:r>
              <w:t>≥100百分比</w:t>
            </w:r>
          </w:p>
        </w:tc>
        <w:tc>
          <w:tcPr>
            <w:tcW w:w="1843" w:type="dxa"/>
            <w:vAlign w:val="center"/>
          </w:tcPr>
          <w:p>
            <w:pPr>
              <w:pStyle w:val="13"/>
            </w:pPr>
            <w:r>
              <w:t>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办案效率提高</w:t>
            </w:r>
          </w:p>
        </w:tc>
        <w:tc>
          <w:tcPr>
            <w:tcW w:w="2891" w:type="dxa"/>
            <w:vAlign w:val="center"/>
          </w:tcPr>
          <w:p>
            <w:pPr>
              <w:pStyle w:val="13"/>
            </w:pPr>
            <w:r>
              <w:t>改善办案信息化，提高办案效率</w:t>
            </w:r>
          </w:p>
        </w:tc>
        <w:tc>
          <w:tcPr>
            <w:tcW w:w="1276" w:type="dxa"/>
            <w:vAlign w:val="center"/>
          </w:tcPr>
          <w:p>
            <w:pPr>
              <w:pStyle w:val="13"/>
            </w:pPr>
            <w:r>
              <w:t>≥90百分比</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干警对项目建设使用满意度</w:t>
            </w:r>
          </w:p>
        </w:tc>
        <w:tc>
          <w:tcPr>
            <w:tcW w:w="1276" w:type="dxa"/>
            <w:vAlign w:val="center"/>
          </w:tcPr>
          <w:p>
            <w:pPr>
              <w:pStyle w:val="13"/>
            </w:pPr>
            <w:r>
              <w:t>≥93百分比</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2.聘用制书记员及其他人员保障经费（宣化检察院）绩效目标表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13070024P00031010001J</w:t>
            </w:r>
          </w:p>
        </w:tc>
        <w:tc>
          <w:tcPr>
            <w:tcW w:w="1587" w:type="dxa"/>
            <w:vAlign w:val="center"/>
          </w:tcPr>
          <w:p>
            <w:pPr>
              <w:pStyle w:val="14"/>
            </w:pPr>
            <w:r>
              <w:t>项目名称</w:t>
            </w:r>
          </w:p>
        </w:tc>
        <w:tc>
          <w:tcPr>
            <w:tcW w:w="4422" w:type="dxa"/>
            <w:gridSpan w:val="3"/>
            <w:vAlign w:val="center"/>
          </w:tcPr>
          <w:p>
            <w:pPr>
              <w:pStyle w:val="13"/>
            </w:pPr>
            <w:r>
              <w:t>聘用制书记员及其他人员保障经费（宣化检察院）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173.66</w:t>
            </w:r>
          </w:p>
        </w:tc>
        <w:tc>
          <w:tcPr>
            <w:tcW w:w="1587" w:type="dxa"/>
            <w:vAlign w:val="center"/>
          </w:tcPr>
          <w:p>
            <w:pPr>
              <w:pStyle w:val="14"/>
            </w:pPr>
            <w:r>
              <w:t>其中：财政    资金</w:t>
            </w:r>
          </w:p>
        </w:tc>
        <w:tc>
          <w:tcPr>
            <w:tcW w:w="1304" w:type="dxa"/>
            <w:vAlign w:val="center"/>
          </w:tcPr>
          <w:p>
            <w:pPr>
              <w:pStyle w:val="13"/>
            </w:pPr>
            <w:r>
              <w:t>173.66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足额发放聘用制书记员工资，规范检察队伍，确保检察工作顺利开展。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1.按月支付我院聘用制书记员工资及保险。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协助完成案件数</w:t>
            </w:r>
          </w:p>
        </w:tc>
        <w:tc>
          <w:tcPr>
            <w:tcW w:w="2891" w:type="dxa"/>
            <w:vAlign w:val="center"/>
          </w:tcPr>
          <w:p>
            <w:pPr>
              <w:pStyle w:val="13"/>
            </w:pPr>
            <w:r>
              <w:t>规定之间内协助完成案件数</w:t>
            </w:r>
          </w:p>
        </w:tc>
        <w:tc>
          <w:tcPr>
            <w:tcW w:w="1276" w:type="dxa"/>
            <w:vAlign w:val="center"/>
          </w:tcPr>
          <w:p>
            <w:pPr>
              <w:pStyle w:val="13"/>
            </w:pPr>
            <w:r>
              <w:t>≥200件</w:t>
            </w:r>
          </w:p>
        </w:tc>
        <w:tc>
          <w:tcPr>
            <w:tcW w:w="1843" w:type="dxa"/>
            <w:vAlign w:val="center"/>
          </w:tcPr>
          <w:p>
            <w:pPr>
              <w:pStyle w:val="13"/>
            </w:pPr>
            <w: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结案率</w:t>
            </w:r>
          </w:p>
        </w:tc>
        <w:tc>
          <w:tcPr>
            <w:tcW w:w="2891" w:type="dxa"/>
            <w:vAlign w:val="center"/>
          </w:tcPr>
          <w:p>
            <w:pPr>
              <w:pStyle w:val="13"/>
            </w:pPr>
            <w:r>
              <w:t>规定之间内结案率</w:t>
            </w:r>
          </w:p>
        </w:tc>
        <w:tc>
          <w:tcPr>
            <w:tcW w:w="1276" w:type="dxa"/>
            <w:vAlign w:val="center"/>
          </w:tcPr>
          <w:p>
            <w:pPr>
              <w:pStyle w:val="13"/>
            </w:pPr>
            <w:r>
              <w:t>100百分比</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发放工资时间</w:t>
            </w:r>
          </w:p>
        </w:tc>
        <w:tc>
          <w:tcPr>
            <w:tcW w:w="2891" w:type="dxa"/>
            <w:vAlign w:val="center"/>
          </w:tcPr>
          <w:p>
            <w:pPr>
              <w:pStyle w:val="13"/>
            </w:pPr>
            <w:r>
              <w:t>规定之间内按月发放工资</w:t>
            </w:r>
          </w:p>
        </w:tc>
        <w:tc>
          <w:tcPr>
            <w:tcW w:w="1276" w:type="dxa"/>
            <w:vAlign w:val="center"/>
          </w:tcPr>
          <w:p>
            <w:pPr>
              <w:pStyle w:val="13"/>
            </w:pPr>
            <w:r>
              <w:t>100百分比</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资金全面保障</w:t>
            </w:r>
          </w:p>
        </w:tc>
        <w:tc>
          <w:tcPr>
            <w:tcW w:w="2891" w:type="dxa"/>
            <w:vAlign w:val="center"/>
          </w:tcPr>
          <w:p>
            <w:pPr>
              <w:pStyle w:val="13"/>
            </w:pPr>
            <w:r>
              <w:t>资金全面保障</w:t>
            </w:r>
          </w:p>
        </w:tc>
        <w:tc>
          <w:tcPr>
            <w:tcW w:w="1276" w:type="dxa"/>
            <w:vAlign w:val="center"/>
          </w:tcPr>
          <w:p>
            <w:pPr>
              <w:pStyle w:val="13"/>
            </w:pPr>
            <w:r>
              <w:t>≤173.66万元</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书记员检察队伍建设</w:t>
            </w:r>
          </w:p>
        </w:tc>
        <w:tc>
          <w:tcPr>
            <w:tcW w:w="2891" w:type="dxa"/>
            <w:vAlign w:val="center"/>
          </w:tcPr>
          <w:p>
            <w:pPr>
              <w:pStyle w:val="13"/>
            </w:pPr>
            <w:r>
              <w:t>进一步规范书记员检察队伍，完成书记员队伍建设管理</w:t>
            </w:r>
          </w:p>
        </w:tc>
        <w:tc>
          <w:tcPr>
            <w:tcW w:w="1276" w:type="dxa"/>
            <w:vAlign w:val="center"/>
          </w:tcPr>
          <w:p>
            <w:pPr>
              <w:pStyle w:val="13"/>
            </w:pPr>
            <w:r>
              <w:t>≥90百分比</w:t>
            </w:r>
          </w:p>
        </w:tc>
        <w:tc>
          <w:tcPr>
            <w:tcW w:w="1843" w:type="dxa"/>
            <w:vAlign w:val="center"/>
          </w:tcPr>
          <w:p>
            <w:pPr>
              <w:pStyle w:val="13"/>
            </w:pPr>
            <w:r>
              <w:t>参考上年完成情况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业务办理率</w:t>
            </w:r>
          </w:p>
        </w:tc>
        <w:tc>
          <w:tcPr>
            <w:tcW w:w="2891" w:type="dxa"/>
            <w:vAlign w:val="center"/>
          </w:tcPr>
          <w:p>
            <w:pPr>
              <w:pStyle w:val="13"/>
            </w:pPr>
            <w:r>
              <w:t>业务办理率</w:t>
            </w:r>
          </w:p>
        </w:tc>
        <w:tc>
          <w:tcPr>
            <w:tcW w:w="1276" w:type="dxa"/>
            <w:vAlign w:val="center"/>
          </w:tcPr>
          <w:p>
            <w:pPr>
              <w:pStyle w:val="13"/>
            </w:pPr>
            <w:r>
              <w:t>≥90百分比</w:t>
            </w:r>
          </w:p>
        </w:tc>
        <w:tc>
          <w:tcPr>
            <w:tcW w:w="1843" w:type="dxa"/>
            <w:vAlign w:val="center"/>
          </w:tcPr>
          <w:p>
            <w:pPr>
              <w:pStyle w:val="13"/>
            </w:pPr>
            <w:r>
              <w:t>参考上年完成情况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群众对案件的满意程度</w:t>
            </w:r>
          </w:p>
        </w:tc>
        <w:tc>
          <w:tcPr>
            <w:tcW w:w="1276" w:type="dxa"/>
            <w:vAlign w:val="center"/>
          </w:tcPr>
          <w:p>
            <w:pPr>
              <w:pStyle w:val="13"/>
            </w:pPr>
            <w:r>
              <w:t>≥90百分比</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3.[13070023C000007000733]关于下达2023年中央政法纪检监察转移支付资金冀财政法（2023）25号绩效目标表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13070023P000733100026</w:t>
            </w:r>
          </w:p>
        </w:tc>
        <w:tc>
          <w:tcPr>
            <w:tcW w:w="1587" w:type="dxa"/>
            <w:vAlign w:val="center"/>
          </w:tcPr>
          <w:p>
            <w:pPr>
              <w:pStyle w:val="14"/>
            </w:pPr>
            <w:r>
              <w:t>项目名称</w:t>
            </w:r>
          </w:p>
        </w:tc>
        <w:tc>
          <w:tcPr>
            <w:tcW w:w="4422" w:type="dxa"/>
            <w:gridSpan w:val="3"/>
            <w:vAlign w:val="center"/>
          </w:tcPr>
          <w:p>
            <w:pPr>
              <w:pStyle w:val="13"/>
            </w:pPr>
            <w:r>
              <w:t>[13070023C000007000733]关于下达2023年中央政法纪检监察转移支付资金冀财政法（2023）25号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59.67</w:t>
            </w:r>
          </w:p>
        </w:tc>
        <w:tc>
          <w:tcPr>
            <w:tcW w:w="1587" w:type="dxa"/>
            <w:vAlign w:val="center"/>
          </w:tcPr>
          <w:p>
            <w:pPr>
              <w:pStyle w:val="14"/>
            </w:pPr>
            <w:r>
              <w:t>其中：财政    资金</w:t>
            </w:r>
          </w:p>
        </w:tc>
        <w:tc>
          <w:tcPr>
            <w:tcW w:w="1304" w:type="dxa"/>
            <w:vAlign w:val="center"/>
          </w:tcPr>
          <w:p>
            <w:pPr>
              <w:pStyle w:val="13"/>
            </w:pPr>
            <w:r>
              <w:t>59.67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保障我院检察工作开展，专款专用按资金支出计划支出资金。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100%</w:t>
            </w:r>
          </w:p>
        </w:tc>
        <w:tc>
          <w:tcPr>
            <w:tcW w:w="1304" w:type="dxa"/>
            <w:vAlign w:val="center"/>
          </w:tcPr>
          <w:p>
            <w:pPr>
              <w:pStyle w:val="15"/>
            </w:pPr>
            <w:r>
              <w:t xml:space="preserve"> </w:t>
            </w:r>
          </w:p>
        </w:tc>
        <w:tc>
          <w:tcPr>
            <w:tcW w:w="3118"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1.保障我院检察工作开展，专款专用按资金支出计划支出资金。</w:t>
            </w:r>
          </w:p>
          <w:p>
            <w:pPr>
              <w:pStyle w:val="13"/>
            </w:pPr>
            <w:r>
              <w:t>2.保障我院办案业务经费及装备经费的需要</w:t>
            </w:r>
          </w:p>
          <w:p>
            <w:pPr>
              <w:pStyle w:val="13"/>
            </w:pPr>
            <w:r>
              <w:t>3.政法专项资金专款专用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专款专用率</w:t>
            </w:r>
          </w:p>
        </w:tc>
        <w:tc>
          <w:tcPr>
            <w:tcW w:w="2891" w:type="dxa"/>
            <w:vAlign w:val="center"/>
          </w:tcPr>
          <w:p>
            <w:pPr>
              <w:pStyle w:val="13"/>
            </w:pPr>
            <w:r>
              <w:t>专款专用率</w:t>
            </w:r>
          </w:p>
        </w:tc>
        <w:tc>
          <w:tcPr>
            <w:tcW w:w="1276" w:type="dxa"/>
            <w:vAlign w:val="center"/>
          </w:tcPr>
          <w:p>
            <w:pPr>
              <w:pStyle w:val="13"/>
            </w:pPr>
            <w:r>
              <w:t>≥100百分比</w:t>
            </w:r>
          </w:p>
          <w:p>
            <w:pPr>
              <w:pStyle w:val="13"/>
            </w:pPr>
          </w:p>
        </w:tc>
        <w:tc>
          <w:tcPr>
            <w:tcW w:w="1843" w:type="dxa"/>
            <w:vAlign w:val="center"/>
          </w:tcPr>
          <w:p>
            <w:pPr>
              <w:pStyle w:val="13"/>
            </w:pPr>
            <w:r>
              <w:t>冀财政法（2023）25号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年度服务部门数量</w:t>
            </w:r>
          </w:p>
        </w:tc>
        <w:tc>
          <w:tcPr>
            <w:tcW w:w="2891" w:type="dxa"/>
            <w:vAlign w:val="center"/>
          </w:tcPr>
          <w:p>
            <w:pPr>
              <w:pStyle w:val="13"/>
            </w:pPr>
            <w:r>
              <w:t>年度服务部门数量</w:t>
            </w:r>
          </w:p>
        </w:tc>
        <w:tc>
          <w:tcPr>
            <w:tcW w:w="1276" w:type="dxa"/>
            <w:vAlign w:val="center"/>
          </w:tcPr>
          <w:p>
            <w:pPr>
              <w:pStyle w:val="13"/>
            </w:pPr>
            <w:r>
              <w:t>13个</w:t>
            </w:r>
          </w:p>
          <w:p>
            <w:pPr>
              <w:pStyle w:val="13"/>
            </w:pPr>
          </w:p>
        </w:tc>
        <w:tc>
          <w:tcPr>
            <w:tcW w:w="1843" w:type="dxa"/>
            <w:vAlign w:val="center"/>
          </w:tcPr>
          <w:p>
            <w:pPr>
              <w:pStyle w:val="13"/>
            </w:pPr>
            <w:r>
              <w:t>冀财政法（2023）25号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资金完成数量</w:t>
            </w:r>
          </w:p>
        </w:tc>
        <w:tc>
          <w:tcPr>
            <w:tcW w:w="2891" w:type="dxa"/>
            <w:vAlign w:val="center"/>
          </w:tcPr>
          <w:p>
            <w:pPr>
              <w:pStyle w:val="13"/>
            </w:pPr>
            <w:r>
              <w:t>资金完成数量</w:t>
            </w:r>
          </w:p>
        </w:tc>
        <w:tc>
          <w:tcPr>
            <w:tcW w:w="1276" w:type="dxa"/>
            <w:vAlign w:val="center"/>
          </w:tcPr>
          <w:p>
            <w:pPr>
              <w:pStyle w:val="13"/>
            </w:pPr>
            <w:r>
              <w:t>62万元</w:t>
            </w:r>
          </w:p>
        </w:tc>
        <w:tc>
          <w:tcPr>
            <w:tcW w:w="1843" w:type="dxa"/>
            <w:vAlign w:val="center"/>
          </w:tcPr>
          <w:p>
            <w:pPr>
              <w:pStyle w:val="13"/>
            </w:pPr>
            <w:r>
              <w:t>冀财政法（2023）25号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支付及时率</w:t>
            </w:r>
          </w:p>
        </w:tc>
        <w:tc>
          <w:tcPr>
            <w:tcW w:w="2891" w:type="dxa"/>
            <w:vAlign w:val="center"/>
          </w:tcPr>
          <w:p>
            <w:pPr>
              <w:pStyle w:val="13"/>
            </w:pPr>
            <w:r>
              <w:t>支付及时率</w:t>
            </w:r>
          </w:p>
        </w:tc>
        <w:tc>
          <w:tcPr>
            <w:tcW w:w="1276" w:type="dxa"/>
            <w:vAlign w:val="center"/>
          </w:tcPr>
          <w:p>
            <w:pPr>
              <w:pStyle w:val="13"/>
            </w:pPr>
            <w:r>
              <w:t>≥95百分比</w:t>
            </w:r>
          </w:p>
          <w:p>
            <w:pPr>
              <w:pStyle w:val="13"/>
            </w:pPr>
          </w:p>
        </w:tc>
        <w:tc>
          <w:tcPr>
            <w:tcW w:w="1843" w:type="dxa"/>
            <w:vAlign w:val="center"/>
          </w:tcPr>
          <w:p>
            <w:pPr>
              <w:pStyle w:val="13"/>
            </w:pPr>
            <w:r>
              <w:t>冀财政法（2023）25号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通过公正的司法活动,保障人民群众的公平正义</w:t>
            </w:r>
          </w:p>
        </w:tc>
        <w:tc>
          <w:tcPr>
            <w:tcW w:w="1276" w:type="dxa"/>
            <w:vAlign w:val="center"/>
          </w:tcPr>
          <w:p>
            <w:pPr>
              <w:pStyle w:val="13"/>
            </w:pPr>
            <w:r>
              <w:t>≥90百分比</w:t>
            </w:r>
          </w:p>
          <w:p>
            <w:pPr>
              <w:pStyle w:val="13"/>
            </w:pPr>
          </w:p>
        </w:tc>
        <w:tc>
          <w:tcPr>
            <w:tcW w:w="1843" w:type="dxa"/>
            <w:vAlign w:val="center"/>
          </w:tcPr>
          <w:p>
            <w:pPr>
              <w:pStyle w:val="13"/>
            </w:pPr>
            <w:r>
              <w:t>冀财政法（2023）25号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≥93百分比</w:t>
            </w:r>
          </w:p>
          <w:p>
            <w:pPr>
              <w:pStyle w:val="13"/>
            </w:pPr>
          </w:p>
        </w:tc>
        <w:tc>
          <w:tcPr>
            <w:tcW w:w="1843" w:type="dxa"/>
            <w:vAlign w:val="center"/>
          </w:tcPr>
          <w:p>
            <w:pPr>
              <w:pStyle w:val="13"/>
            </w:pPr>
            <w:r>
              <w:t>冀财政法（2023）25号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4.[13070023C000007000883]2023年度司法救助资金（宣化区人民检察院）绩效目标表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13070023P00088310001E</w:t>
            </w:r>
          </w:p>
        </w:tc>
        <w:tc>
          <w:tcPr>
            <w:tcW w:w="1587" w:type="dxa"/>
            <w:vAlign w:val="center"/>
          </w:tcPr>
          <w:p>
            <w:pPr>
              <w:pStyle w:val="14"/>
            </w:pPr>
            <w:r>
              <w:t>项目名称</w:t>
            </w:r>
          </w:p>
        </w:tc>
        <w:tc>
          <w:tcPr>
            <w:tcW w:w="4422" w:type="dxa"/>
            <w:gridSpan w:val="3"/>
            <w:vAlign w:val="center"/>
          </w:tcPr>
          <w:p>
            <w:pPr>
              <w:pStyle w:val="13"/>
            </w:pPr>
            <w:r>
              <w:t>[13070023C000007000883]2023年度司法救助资金（宣化区人民检察院）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按照当年的司法救助工作安排，专款专用，实施国家司法救助。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100%</w:t>
            </w:r>
          </w:p>
        </w:tc>
        <w:tc>
          <w:tcPr>
            <w:tcW w:w="1304" w:type="dxa"/>
            <w:vAlign w:val="center"/>
          </w:tcPr>
          <w:p>
            <w:pPr>
              <w:pStyle w:val="15"/>
            </w:pPr>
            <w:r>
              <w:t xml:space="preserve"> </w:t>
            </w:r>
          </w:p>
        </w:tc>
        <w:tc>
          <w:tcPr>
            <w:tcW w:w="3118"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1.按照当年的司法救助工作安排，专款专用，实施国家司法救助。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司法救助工作完成率(%)</w:t>
            </w:r>
          </w:p>
        </w:tc>
        <w:tc>
          <w:tcPr>
            <w:tcW w:w="2891" w:type="dxa"/>
            <w:vAlign w:val="center"/>
          </w:tcPr>
          <w:p>
            <w:pPr>
              <w:pStyle w:val="13"/>
            </w:pPr>
            <w:r>
              <w:t>司法救助工作完成率(%)</w:t>
            </w:r>
          </w:p>
        </w:tc>
        <w:tc>
          <w:tcPr>
            <w:tcW w:w="1276" w:type="dxa"/>
            <w:vAlign w:val="center"/>
          </w:tcPr>
          <w:p>
            <w:pPr>
              <w:pStyle w:val="13"/>
            </w:pPr>
            <w:r>
              <w:t>≥95百分比</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司法救助率(%)</w:t>
            </w:r>
          </w:p>
        </w:tc>
        <w:tc>
          <w:tcPr>
            <w:tcW w:w="2891" w:type="dxa"/>
            <w:vAlign w:val="center"/>
          </w:tcPr>
          <w:p>
            <w:pPr>
              <w:pStyle w:val="13"/>
            </w:pPr>
            <w:r>
              <w:t>司法救助率(%)</w:t>
            </w:r>
          </w:p>
        </w:tc>
        <w:tc>
          <w:tcPr>
            <w:tcW w:w="1276" w:type="dxa"/>
            <w:vAlign w:val="center"/>
          </w:tcPr>
          <w:p>
            <w:pPr>
              <w:pStyle w:val="13"/>
            </w:pPr>
            <w:r>
              <w:t>≥90百分比</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资金发放准时率</w:t>
            </w:r>
          </w:p>
        </w:tc>
        <w:tc>
          <w:tcPr>
            <w:tcW w:w="1276" w:type="dxa"/>
            <w:vAlign w:val="center"/>
          </w:tcPr>
          <w:p>
            <w:pPr>
              <w:pStyle w:val="13"/>
            </w:pPr>
            <w:r>
              <w:t>≥92百分比</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2891" w:type="dxa"/>
            <w:vAlign w:val="center"/>
          </w:tcPr>
          <w:p>
            <w:pPr>
              <w:pStyle w:val="13"/>
            </w:pPr>
            <w:r>
              <w:t>项目总成本</w:t>
            </w:r>
          </w:p>
        </w:tc>
        <w:tc>
          <w:tcPr>
            <w:tcW w:w="1276" w:type="dxa"/>
            <w:vAlign w:val="center"/>
          </w:tcPr>
          <w:p>
            <w:pPr>
              <w:pStyle w:val="13"/>
            </w:pPr>
            <w:r>
              <w:t>2万元</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化解社会矛盾，为社会发展提供良好的环境</w:t>
            </w:r>
          </w:p>
        </w:tc>
        <w:tc>
          <w:tcPr>
            <w:tcW w:w="1276" w:type="dxa"/>
            <w:vAlign w:val="center"/>
          </w:tcPr>
          <w:p>
            <w:pPr>
              <w:pStyle w:val="13"/>
            </w:pPr>
            <w:r>
              <w:t>≥100百分比</w:t>
            </w:r>
          </w:p>
        </w:tc>
        <w:tc>
          <w:tcPr>
            <w:tcW w:w="1843"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救助对象满意度</w:t>
            </w:r>
          </w:p>
        </w:tc>
        <w:tc>
          <w:tcPr>
            <w:tcW w:w="1276" w:type="dxa"/>
            <w:vAlign w:val="center"/>
          </w:tcPr>
          <w:p>
            <w:pPr>
              <w:pStyle w:val="13"/>
            </w:pPr>
            <w:r>
              <w:t>≥93百分比</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5.冀财政法[2023]49号—提前下达2024年中央政法纪检监察转移支付资金（宣化检察院）绩效目标表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13070024P000595100018</w:t>
            </w:r>
          </w:p>
        </w:tc>
        <w:tc>
          <w:tcPr>
            <w:tcW w:w="1587" w:type="dxa"/>
            <w:vAlign w:val="center"/>
          </w:tcPr>
          <w:p>
            <w:pPr>
              <w:pStyle w:val="14"/>
            </w:pPr>
            <w:r>
              <w:t>项目名称</w:t>
            </w:r>
          </w:p>
        </w:tc>
        <w:tc>
          <w:tcPr>
            <w:tcW w:w="4422" w:type="dxa"/>
            <w:gridSpan w:val="3"/>
            <w:vAlign w:val="center"/>
          </w:tcPr>
          <w:p>
            <w:pPr>
              <w:pStyle w:val="13"/>
            </w:pPr>
            <w:r>
              <w:t>冀财政法[2023]49号—提前下达2024年中央政法纪检监察转移支付资金（宣化检察院）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155.00</w:t>
            </w:r>
          </w:p>
        </w:tc>
        <w:tc>
          <w:tcPr>
            <w:tcW w:w="1587" w:type="dxa"/>
            <w:vAlign w:val="center"/>
          </w:tcPr>
          <w:p>
            <w:pPr>
              <w:pStyle w:val="14"/>
            </w:pPr>
            <w:r>
              <w:t>其中：财政    资金</w:t>
            </w:r>
          </w:p>
        </w:tc>
        <w:tc>
          <w:tcPr>
            <w:tcW w:w="1304" w:type="dxa"/>
            <w:vAlign w:val="center"/>
          </w:tcPr>
          <w:p>
            <w:pPr>
              <w:pStyle w:val="13"/>
            </w:pPr>
            <w:r>
              <w:t>155.00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ab/>
            </w:r>
            <w:r>
              <w:t>为检察工作顺利开展提供保障，专款专用，按资金支出计划及时支出资金。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w:t>
            </w:r>
            <w:r>
              <w:tab/>
            </w:r>
            <w:r>
              <w:t>为检察工作顺利开展提供保障，专款专用，按资金支出计划及时支出资金。</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办理案件数</w:t>
            </w:r>
          </w:p>
        </w:tc>
        <w:tc>
          <w:tcPr>
            <w:tcW w:w="2891" w:type="dxa"/>
            <w:vAlign w:val="center"/>
          </w:tcPr>
          <w:p>
            <w:pPr>
              <w:pStyle w:val="13"/>
            </w:pPr>
            <w:r>
              <w:t>办理案件数</w:t>
            </w:r>
          </w:p>
        </w:tc>
        <w:tc>
          <w:tcPr>
            <w:tcW w:w="1276" w:type="dxa"/>
            <w:vAlign w:val="center"/>
          </w:tcPr>
          <w:p>
            <w:pPr>
              <w:pStyle w:val="13"/>
            </w:pPr>
            <w:r>
              <w:t>≥500件</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专款专用率</w:t>
            </w:r>
          </w:p>
        </w:tc>
        <w:tc>
          <w:tcPr>
            <w:tcW w:w="2891" w:type="dxa"/>
            <w:vAlign w:val="center"/>
          </w:tcPr>
          <w:p>
            <w:pPr>
              <w:pStyle w:val="13"/>
            </w:pPr>
            <w:r>
              <w:t>专款专用率</w:t>
            </w:r>
          </w:p>
          <w:p>
            <w:pPr>
              <w:pStyle w:val="13"/>
            </w:pPr>
          </w:p>
        </w:tc>
        <w:tc>
          <w:tcPr>
            <w:tcW w:w="1276" w:type="dxa"/>
            <w:vAlign w:val="center"/>
          </w:tcPr>
          <w:p>
            <w:pPr>
              <w:pStyle w:val="13"/>
            </w:pPr>
            <w:r>
              <w:t>100百分比</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支付及时率</w:t>
            </w:r>
          </w:p>
        </w:tc>
        <w:tc>
          <w:tcPr>
            <w:tcW w:w="2891" w:type="dxa"/>
            <w:vAlign w:val="center"/>
          </w:tcPr>
          <w:p>
            <w:pPr>
              <w:pStyle w:val="13"/>
            </w:pPr>
            <w:r>
              <w:t>支付及时率</w:t>
            </w:r>
          </w:p>
        </w:tc>
        <w:tc>
          <w:tcPr>
            <w:tcW w:w="1276" w:type="dxa"/>
            <w:vAlign w:val="center"/>
          </w:tcPr>
          <w:p>
            <w:pPr>
              <w:pStyle w:val="13"/>
            </w:pPr>
            <w:r>
              <w:t>≥95百分比</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2891" w:type="dxa"/>
            <w:vAlign w:val="center"/>
          </w:tcPr>
          <w:p>
            <w:pPr>
              <w:pStyle w:val="13"/>
            </w:pPr>
            <w:r>
              <w:t>项目总成本</w:t>
            </w:r>
          </w:p>
        </w:tc>
        <w:tc>
          <w:tcPr>
            <w:tcW w:w="1276" w:type="dxa"/>
            <w:vAlign w:val="center"/>
          </w:tcPr>
          <w:p>
            <w:pPr>
              <w:pStyle w:val="13"/>
            </w:pPr>
            <w:r>
              <w:t>155万元</w:t>
            </w:r>
          </w:p>
        </w:tc>
        <w:tc>
          <w:tcPr>
            <w:tcW w:w="1843" w:type="dxa"/>
            <w:vAlign w:val="center"/>
          </w:tcPr>
          <w:p>
            <w:pPr>
              <w:pStyle w:val="13"/>
            </w:pPr>
            <w:r>
              <w:t>根据冀财政法{2023}49号项目总额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通过公正的司法活动，保障人民群众的公平正义</w:t>
            </w:r>
          </w:p>
        </w:tc>
        <w:tc>
          <w:tcPr>
            <w:tcW w:w="1276" w:type="dxa"/>
            <w:vAlign w:val="center"/>
          </w:tcPr>
          <w:p>
            <w:pPr>
              <w:pStyle w:val="13"/>
            </w:pPr>
            <w:r>
              <w:t>≥95百分比</w:t>
            </w:r>
          </w:p>
        </w:tc>
        <w:tc>
          <w:tcPr>
            <w:tcW w:w="1843" w:type="dxa"/>
            <w:vAlign w:val="center"/>
          </w:tcPr>
          <w:p>
            <w:pPr>
              <w:pStyle w:val="13"/>
            </w:pPr>
            <w: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≥90百分比</w:t>
            </w:r>
          </w:p>
        </w:tc>
        <w:tc>
          <w:tcPr>
            <w:tcW w:w="1843" w:type="dxa"/>
            <w:vAlign w:val="center"/>
          </w:tcPr>
          <w:p>
            <w:pPr>
              <w:pStyle w:val="13"/>
            </w:pPr>
            <w: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≥93百分比</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6.冀财政法[2023]50号—提前下达2024年省级基层公检法司转移支付资金（宣化检察院）绩效目标表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13070024P000545100014</w:t>
            </w:r>
          </w:p>
        </w:tc>
        <w:tc>
          <w:tcPr>
            <w:tcW w:w="1587" w:type="dxa"/>
            <w:vAlign w:val="center"/>
          </w:tcPr>
          <w:p>
            <w:pPr>
              <w:pStyle w:val="14"/>
            </w:pPr>
            <w:r>
              <w:t>项目名称</w:t>
            </w:r>
          </w:p>
        </w:tc>
        <w:tc>
          <w:tcPr>
            <w:tcW w:w="4422" w:type="dxa"/>
            <w:gridSpan w:val="3"/>
            <w:vAlign w:val="center"/>
          </w:tcPr>
          <w:p>
            <w:pPr>
              <w:pStyle w:val="13"/>
            </w:pPr>
            <w:r>
              <w:t>冀财政法[2023]50号—提前下达2024年省级基层公检法司转移支付资金（宣化检察院）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111.00</w:t>
            </w:r>
          </w:p>
        </w:tc>
        <w:tc>
          <w:tcPr>
            <w:tcW w:w="1587" w:type="dxa"/>
            <w:vAlign w:val="center"/>
          </w:tcPr>
          <w:p>
            <w:pPr>
              <w:pStyle w:val="14"/>
            </w:pPr>
            <w:r>
              <w:t>其中：财政    资金</w:t>
            </w:r>
          </w:p>
        </w:tc>
        <w:tc>
          <w:tcPr>
            <w:tcW w:w="1304" w:type="dxa"/>
            <w:vAlign w:val="center"/>
          </w:tcPr>
          <w:p>
            <w:pPr>
              <w:pStyle w:val="13"/>
            </w:pPr>
            <w:r>
              <w:t>111.00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保障我院检察工作开展，专款专用按资金支出计划支出资金。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1.保障我院检察工作开展，专款专用按资金支出计划支出资金。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办理案件数</w:t>
            </w:r>
          </w:p>
        </w:tc>
        <w:tc>
          <w:tcPr>
            <w:tcW w:w="2891" w:type="dxa"/>
            <w:vAlign w:val="center"/>
          </w:tcPr>
          <w:p>
            <w:pPr>
              <w:pStyle w:val="13"/>
            </w:pPr>
            <w:r>
              <w:t>办理案件数</w:t>
            </w:r>
          </w:p>
        </w:tc>
        <w:tc>
          <w:tcPr>
            <w:tcW w:w="1276" w:type="dxa"/>
            <w:vAlign w:val="center"/>
          </w:tcPr>
          <w:p>
            <w:pPr>
              <w:pStyle w:val="13"/>
            </w:pPr>
            <w:r>
              <w:t>≥200件</w:t>
            </w:r>
          </w:p>
        </w:tc>
        <w:tc>
          <w:tcPr>
            <w:tcW w:w="1843" w:type="dxa"/>
            <w:vAlign w:val="center"/>
          </w:tcPr>
          <w:p>
            <w:pPr>
              <w:pStyle w:val="13"/>
            </w:pPr>
            <w:r>
              <w:t>根据当年实际情况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案件办结率</w:t>
            </w:r>
          </w:p>
        </w:tc>
        <w:tc>
          <w:tcPr>
            <w:tcW w:w="2891" w:type="dxa"/>
            <w:vAlign w:val="center"/>
          </w:tcPr>
          <w:p>
            <w:pPr>
              <w:pStyle w:val="13"/>
            </w:pPr>
            <w:r>
              <w:t>案件办结率</w:t>
            </w:r>
          </w:p>
        </w:tc>
        <w:tc>
          <w:tcPr>
            <w:tcW w:w="1276" w:type="dxa"/>
            <w:vAlign w:val="center"/>
          </w:tcPr>
          <w:p>
            <w:pPr>
              <w:pStyle w:val="13"/>
            </w:pPr>
            <w:r>
              <w:t>≥95百分比</w:t>
            </w:r>
          </w:p>
        </w:tc>
        <w:tc>
          <w:tcPr>
            <w:tcW w:w="1843" w:type="dxa"/>
            <w:vAlign w:val="center"/>
          </w:tcPr>
          <w:p>
            <w:pPr>
              <w:pStyle w:val="13"/>
            </w:pPr>
            <w:r>
              <w:t>冀财政法（2023）50号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按预算资金完成率</w:t>
            </w:r>
          </w:p>
        </w:tc>
        <w:tc>
          <w:tcPr>
            <w:tcW w:w="2891" w:type="dxa"/>
            <w:vAlign w:val="center"/>
          </w:tcPr>
          <w:p>
            <w:pPr>
              <w:pStyle w:val="13"/>
            </w:pPr>
            <w:r>
              <w:t>按预算资金完成率</w:t>
            </w:r>
          </w:p>
        </w:tc>
        <w:tc>
          <w:tcPr>
            <w:tcW w:w="1276" w:type="dxa"/>
            <w:vAlign w:val="center"/>
          </w:tcPr>
          <w:p>
            <w:pPr>
              <w:pStyle w:val="13"/>
            </w:pPr>
            <w:r>
              <w:t>≥95百分比</w:t>
            </w:r>
          </w:p>
        </w:tc>
        <w:tc>
          <w:tcPr>
            <w:tcW w:w="1843" w:type="dxa"/>
            <w:vAlign w:val="center"/>
          </w:tcPr>
          <w:p>
            <w:pPr>
              <w:pStyle w:val="13"/>
            </w:pPr>
            <w: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支付及时率</w:t>
            </w:r>
          </w:p>
        </w:tc>
        <w:tc>
          <w:tcPr>
            <w:tcW w:w="2891" w:type="dxa"/>
            <w:vAlign w:val="center"/>
          </w:tcPr>
          <w:p>
            <w:pPr>
              <w:pStyle w:val="13"/>
            </w:pPr>
            <w:r>
              <w:t>支付及时率</w:t>
            </w:r>
          </w:p>
        </w:tc>
        <w:tc>
          <w:tcPr>
            <w:tcW w:w="1276" w:type="dxa"/>
            <w:vAlign w:val="center"/>
          </w:tcPr>
          <w:p>
            <w:pPr>
              <w:pStyle w:val="13"/>
            </w:pPr>
            <w:r>
              <w:t>≥97百分比</w:t>
            </w:r>
          </w:p>
        </w:tc>
        <w:tc>
          <w:tcPr>
            <w:tcW w:w="1843" w:type="dxa"/>
            <w:vAlign w:val="center"/>
          </w:tcPr>
          <w:p>
            <w:pPr>
              <w:pStyle w:val="13"/>
            </w:pPr>
            <w: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通过公正的司法活动,保障人民群众的公平正义</w:t>
            </w:r>
          </w:p>
        </w:tc>
        <w:tc>
          <w:tcPr>
            <w:tcW w:w="1276" w:type="dxa"/>
            <w:vAlign w:val="center"/>
          </w:tcPr>
          <w:p>
            <w:pPr>
              <w:pStyle w:val="13"/>
            </w:pPr>
            <w:r>
              <w:t>≥95百分比</w:t>
            </w:r>
          </w:p>
        </w:tc>
        <w:tc>
          <w:tcPr>
            <w:tcW w:w="1843" w:type="dxa"/>
            <w:vAlign w:val="center"/>
          </w:tcPr>
          <w:p>
            <w:pPr>
              <w:pStyle w:val="13"/>
            </w:pPr>
            <w:r>
              <w:t>根据单位实际情况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有利于当地生态环境的改善</w:t>
            </w:r>
          </w:p>
        </w:tc>
        <w:tc>
          <w:tcPr>
            <w:tcW w:w="2891" w:type="dxa"/>
            <w:vAlign w:val="center"/>
          </w:tcPr>
          <w:p>
            <w:pPr>
              <w:pStyle w:val="13"/>
            </w:pPr>
            <w:r>
              <w:t>有利于当地生态环境的改善</w:t>
            </w:r>
          </w:p>
        </w:tc>
        <w:tc>
          <w:tcPr>
            <w:tcW w:w="1276" w:type="dxa"/>
            <w:vAlign w:val="center"/>
          </w:tcPr>
          <w:p>
            <w:pPr>
              <w:pStyle w:val="13"/>
            </w:pPr>
            <w:r>
              <w:t>≥90百分比</w:t>
            </w:r>
          </w:p>
        </w:tc>
        <w:tc>
          <w:tcPr>
            <w:tcW w:w="1843" w:type="dxa"/>
            <w:vAlign w:val="center"/>
          </w:tcPr>
          <w:p>
            <w:pPr>
              <w:pStyle w:val="13"/>
            </w:pPr>
            <w:r>
              <w:t>根据单位实际情况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群众满意度</w:t>
            </w:r>
          </w:p>
        </w:tc>
        <w:tc>
          <w:tcPr>
            <w:tcW w:w="1276" w:type="dxa"/>
            <w:vAlign w:val="center"/>
          </w:tcPr>
          <w:p>
            <w:pPr>
              <w:pStyle w:val="13"/>
            </w:pPr>
            <w:r>
              <w:t>≥92百分比</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7.提前下达2023年省级基层公检法司转移支付资金 省级冀财政法（2022）56号绩效目标表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13070023P00054810001N</w:t>
            </w:r>
          </w:p>
        </w:tc>
        <w:tc>
          <w:tcPr>
            <w:tcW w:w="1587" w:type="dxa"/>
            <w:vAlign w:val="center"/>
          </w:tcPr>
          <w:p>
            <w:pPr>
              <w:pStyle w:val="14"/>
            </w:pPr>
            <w:r>
              <w:t>项目名称</w:t>
            </w:r>
          </w:p>
        </w:tc>
        <w:tc>
          <w:tcPr>
            <w:tcW w:w="4422" w:type="dxa"/>
            <w:gridSpan w:val="3"/>
            <w:vAlign w:val="center"/>
          </w:tcPr>
          <w:p>
            <w:pPr>
              <w:pStyle w:val="13"/>
            </w:pPr>
            <w:r>
              <w:t>提前下达2023年省级基层公检法司转移支付资金 省级冀财政法（2022）56号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56.00</w:t>
            </w:r>
          </w:p>
        </w:tc>
        <w:tc>
          <w:tcPr>
            <w:tcW w:w="1587" w:type="dxa"/>
            <w:vAlign w:val="center"/>
          </w:tcPr>
          <w:p>
            <w:pPr>
              <w:pStyle w:val="14"/>
            </w:pPr>
            <w:r>
              <w:t>其中：财政    资金</w:t>
            </w:r>
          </w:p>
        </w:tc>
        <w:tc>
          <w:tcPr>
            <w:tcW w:w="1304" w:type="dxa"/>
            <w:vAlign w:val="center"/>
          </w:tcPr>
          <w:p>
            <w:pPr>
              <w:pStyle w:val="13"/>
            </w:pPr>
            <w:r>
              <w:t>56.00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2023年省级政法转移支付用于我院办案业务费和办案装备经费支出。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100%</w:t>
            </w:r>
          </w:p>
        </w:tc>
        <w:tc>
          <w:tcPr>
            <w:tcW w:w="1304" w:type="dxa"/>
            <w:vAlign w:val="center"/>
          </w:tcPr>
          <w:p>
            <w:pPr>
              <w:pStyle w:val="15"/>
            </w:pPr>
            <w:r>
              <w:t xml:space="preserve"> </w:t>
            </w:r>
          </w:p>
        </w:tc>
        <w:tc>
          <w:tcPr>
            <w:tcW w:w="3118"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1.为检察工作顺利开展,提供保障，按资金支出计划支出资金。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时效指标</w:t>
            </w:r>
          </w:p>
        </w:tc>
        <w:tc>
          <w:tcPr>
            <w:tcW w:w="1332" w:type="dxa"/>
            <w:vAlign w:val="center"/>
          </w:tcPr>
          <w:p>
            <w:pPr>
              <w:pStyle w:val="13"/>
            </w:pPr>
            <w:r>
              <w:t>支付及时率</w:t>
            </w:r>
          </w:p>
        </w:tc>
        <w:tc>
          <w:tcPr>
            <w:tcW w:w="2891" w:type="dxa"/>
            <w:vAlign w:val="center"/>
          </w:tcPr>
          <w:p>
            <w:pPr>
              <w:pStyle w:val="13"/>
            </w:pPr>
            <w:r>
              <w:t>支付及时率</w:t>
            </w:r>
          </w:p>
        </w:tc>
        <w:tc>
          <w:tcPr>
            <w:tcW w:w="1276" w:type="dxa"/>
            <w:vAlign w:val="center"/>
          </w:tcPr>
          <w:p>
            <w:pPr>
              <w:pStyle w:val="13"/>
            </w:pPr>
            <w:r>
              <w:t>≥90百分比</w:t>
            </w:r>
          </w:p>
        </w:tc>
        <w:tc>
          <w:tcPr>
            <w:tcW w:w="1843" w:type="dxa"/>
            <w:vAlign w:val="center"/>
          </w:tcPr>
          <w:p>
            <w:pPr>
              <w:pStyle w:val="13"/>
            </w:pPr>
            <w:r>
              <w:t>省级冀财政法（2022）56号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年度服务部门数量</w:t>
            </w:r>
          </w:p>
        </w:tc>
        <w:tc>
          <w:tcPr>
            <w:tcW w:w="2891" w:type="dxa"/>
            <w:vAlign w:val="center"/>
          </w:tcPr>
          <w:p>
            <w:pPr>
              <w:pStyle w:val="13"/>
            </w:pPr>
            <w:r>
              <w:t>年度服务部门数量</w:t>
            </w:r>
          </w:p>
        </w:tc>
        <w:tc>
          <w:tcPr>
            <w:tcW w:w="1276" w:type="dxa"/>
            <w:vAlign w:val="center"/>
          </w:tcPr>
          <w:p>
            <w:pPr>
              <w:pStyle w:val="13"/>
            </w:pPr>
            <w:r>
              <w:t>13个</w:t>
            </w:r>
          </w:p>
        </w:tc>
        <w:tc>
          <w:tcPr>
            <w:tcW w:w="1843" w:type="dxa"/>
            <w:vAlign w:val="center"/>
          </w:tcPr>
          <w:p>
            <w:pPr>
              <w:pStyle w:val="13"/>
            </w:pPr>
            <w:r>
              <w:t>省级冀财政法（2022）56号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项目控制不超过项目总数</w:t>
            </w:r>
          </w:p>
        </w:tc>
        <w:tc>
          <w:tcPr>
            <w:tcW w:w="2891" w:type="dxa"/>
            <w:vAlign w:val="center"/>
          </w:tcPr>
          <w:p>
            <w:pPr>
              <w:pStyle w:val="13"/>
            </w:pPr>
            <w:r>
              <w:t>项目控制不超过项目总金额</w:t>
            </w:r>
          </w:p>
        </w:tc>
        <w:tc>
          <w:tcPr>
            <w:tcW w:w="1276" w:type="dxa"/>
            <w:vAlign w:val="center"/>
          </w:tcPr>
          <w:p>
            <w:pPr>
              <w:pStyle w:val="13"/>
            </w:pPr>
            <w:r>
              <w:t>112万元</w:t>
            </w:r>
          </w:p>
        </w:tc>
        <w:tc>
          <w:tcPr>
            <w:tcW w:w="1843" w:type="dxa"/>
            <w:vAlign w:val="center"/>
          </w:tcPr>
          <w:p>
            <w:pPr>
              <w:pStyle w:val="13"/>
            </w:pPr>
            <w:r>
              <w:t>省级冀财政法（2022）56号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专款专用率</w:t>
            </w:r>
          </w:p>
        </w:tc>
        <w:tc>
          <w:tcPr>
            <w:tcW w:w="2891" w:type="dxa"/>
            <w:vAlign w:val="center"/>
          </w:tcPr>
          <w:p>
            <w:pPr>
              <w:pStyle w:val="13"/>
            </w:pPr>
            <w:r>
              <w:t>经费财政拨款专款专用情况</w:t>
            </w:r>
          </w:p>
        </w:tc>
        <w:tc>
          <w:tcPr>
            <w:tcW w:w="1276" w:type="dxa"/>
            <w:vAlign w:val="center"/>
          </w:tcPr>
          <w:p>
            <w:pPr>
              <w:pStyle w:val="13"/>
            </w:pPr>
            <w:r>
              <w:t>≥100百分比</w:t>
            </w:r>
          </w:p>
        </w:tc>
        <w:tc>
          <w:tcPr>
            <w:tcW w:w="1843" w:type="dxa"/>
            <w:vAlign w:val="center"/>
          </w:tcPr>
          <w:p>
            <w:pPr>
              <w:pStyle w:val="13"/>
            </w:pPr>
            <w:r>
              <w:t>省级冀财政法（2022）56号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通过公正的司法活动,保障人民群众的公平正义</w:t>
            </w:r>
          </w:p>
        </w:tc>
        <w:tc>
          <w:tcPr>
            <w:tcW w:w="1276" w:type="dxa"/>
            <w:vAlign w:val="center"/>
          </w:tcPr>
          <w:p>
            <w:pPr>
              <w:pStyle w:val="13"/>
            </w:pPr>
            <w:r>
              <w:t>≥95百分比</w:t>
            </w:r>
          </w:p>
        </w:tc>
        <w:tc>
          <w:tcPr>
            <w:tcW w:w="1843" w:type="dxa"/>
            <w:vAlign w:val="center"/>
          </w:tcPr>
          <w:p>
            <w:pPr>
              <w:pStyle w:val="13"/>
            </w:pPr>
            <w:r>
              <w:t>省级冀财政法（2022）56号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≥93百分比</w:t>
            </w:r>
          </w:p>
        </w:tc>
        <w:tc>
          <w:tcPr>
            <w:tcW w:w="1843" w:type="dxa"/>
            <w:vAlign w:val="center"/>
          </w:tcPr>
          <w:p>
            <w:pPr>
              <w:pStyle w:val="13"/>
            </w:pPr>
            <w:r>
              <w:t>省级冀财政法（2022）56号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8.提前下达2023年中央政法纪检监察转移支付资金中央冀财政法（2022）55号绩效目标表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504001张家口市宣化区人民检察院本级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13070023P00047810001L</w:t>
            </w:r>
          </w:p>
        </w:tc>
        <w:tc>
          <w:tcPr>
            <w:tcW w:w="1587" w:type="dxa"/>
            <w:vAlign w:val="center"/>
          </w:tcPr>
          <w:p>
            <w:pPr>
              <w:pStyle w:val="14"/>
            </w:pPr>
            <w:r>
              <w:t>项目名称</w:t>
            </w:r>
          </w:p>
        </w:tc>
        <w:tc>
          <w:tcPr>
            <w:tcW w:w="4422" w:type="dxa"/>
            <w:gridSpan w:val="3"/>
            <w:vAlign w:val="center"/>
          </w:tcPr>
          <w:p>
            <w:pPr>
              <w:pStyle w:val="13"/>
            </w:pPr>
            <w:r>
              <w:t>提前下达2023年中央政法纪检监察转移支付资金中央冀财政法（2022）55号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45.32</w:t>
            </w:r>
          </w:p>
        </w:tc>
        <w:tc>
          <w:tcPr>
            <w:tcW w:w="1587" w:type="dxa"/>
            <w:vAlign w:val="center"/>
          </w:tcPr>
          <w:p>
            <w:pPr>
              <w:pStyle w:val="14"/>
            </w:pPr>
            <w:r>
              <w:t>其中：财政    资金</w:t>
            </w:r>
          </w:p>
        </w:tc>
        <w:tc>
          <w:tcPr>
            <w:tcW w:w="1304" w:type="dxa"/>
            <w:vAlign w:val="center"/>
          </w:tcPr>
          <w:p>
            <w:pPr>
              <w:pStyle w:val="13"/>
            </w:pPr>
            <w:r>
              <w:t>45.32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政法专项经费用于办案业务费和购买办案装备。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100%</w:t>
            </w:r>
          </w:p>
        </w:tc>
        <w:tc>
          <w:tcPr>
            <w:tcW w:w="1304" w:type="dxa"/>
            <w:vAlign w:val="center"/>
          </w:tcPr>
          <w:p>
            <w:pPr>
              <w:pStyle w:val="15"/>
            </w:pPr>
            <w:r>
              <w:t xml:space="preserve"> </w:t>
            </w:r>
          </w:p>
        </w:tc>
        <w:tc>
          <w:tcPr>
            <w:tcW w:w="3118"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1.保障我院检察工作开展，专款专用按资金支出计划支出资金。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专款专用率</w:t>
            </w:r>
          </w:p>
        </w:tc>
        <w:tc>
          <w:tcPr>
            <w:tcW w:w="2891" w:type="dxa"/>
            <w:vAlign w:val="center"/>
          </w:tcPr>
          <w:p>
            <w:pPr>
              <w:pStyle w:val="13"/>
            </w:pPr>
            <w:r>
              <w:t>专款专用率</w:t>
            </w:r>
          </w:p>
        </w:tc>
        <w:tc>
          <w:tcPr>
            <w:tcW w:w="1276" w:type="dxa"/>
            <w:vAlign w:val="center"/>
          </w:tcPr>
          <w:p>
            <w:pPr>
              <w:pStyle w:val="13"/>
            </w:pPr>
            <w:r>
              <w:t>≥100百分比</w:t>
            </w:r>
          </w:p>
        </w:tc>
        <w:tc>
          <w:tcPr>
            <w:tcW w:w="1843" w:type="dxa"/>
            <w:vAlign w:val="center"/>
          </w:tcPr>
          <w:p>
            <w:pPr>
              <w:pStyle w:val="13"/>
            </w:pPr>
            <w:r>
              <w:t>中央冀财政法（2022）55号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年度服务部门数量</w:t>
            </w:r>
          </w:p>
        </w:tc>
        <w:tc>
          <w:tcPr>
            <w:tcW w:w="2891" w:type="dxa"/>
            <w:vAlign w:val="center"/>
          </w:tcPr>
          <w:p>
            <w:pPr>
              <w:pStyle w:val="13"/>
            </w:pPr>
            <w:r>
              <w:t>年度服务部门数量</w:t>
            </w:r>
          </w:p>
        </w:tc>
        <w:tc>
          <w:tcPr>
            <w:tcW w:w="1276" w:type="dxa"/>
            <w:vAlign w:val="center"/>
          </w:tcPr>
          <w:p>
            <w:pPr>
              <w:pStyle w:val="13"/>
            </w:pPr>
            <w:r>
              <w:t>13个</w:t>
            </w:r>
          </w:p>
        </w:tc>
        <w:tc>
          <w:tcPr>
            <w:tcW w:w="1843" w:type="dxa"/>
            <w:vAlign w:val="center"/>
          </w:tcPr>
          <w:p>
            <w:pPr>
              <w:pStyle w:val="13"/>
            </w:pPr>
            <w:r>
              <w:t>中央冀财政法（2022）55号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按预算资金完成率</w:t>
            </w:r>
          </w:p>
        </w:tc>
        <w:tc>
          <w:tcPr>
            <w:tcW w:w="2891" w:type="dxa"/>
            <w:vAlign w:val="center"/>
          </w:tcPr>
          <w:p>
            <w:pPr>
              <w:pStyle w:val="13"/>
            </w:pPr>
            <w:r>
              <w:t>按预算资金完成率</w:t>
            </w:r>
          </w:p>
        </w:tc>
        <w:tc>
          <w:tcPr>
            <w:tcW w:w="1276" w:type="dxa"/>
            <w:vAlign w:val="center"/>
          </w:tcPr>
          <w:p>
            <w:pPr>
              <w:pStyle w:val="13"/>
            </w:pPr>
            <w:r>
              <w:t>≥95百分比</w:t>
            </w:r>
          </w:p>
        </w:tc>
        <w:tc>
          <w:tcPr>
            <w:tcW w:w="1843" w:type="dxa"/>
            <w:vAlign w:val="center"/>
          </w:tcPr>
          <w:p>
            <w:pPr>
              <w:pStyle w:val="13"/>
            </w:pPr>
            <w:r>
              <w:t>中央冀财政法（2022）55号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支付及时率</w:t>
            </w:r>
          </w:p>
        </w:tc>
        <w:tc>
          <w:tcPr>
            <w:tcW w:w="2891" w:type="dxa"/>
            <w:vAlign w:val="center"/>
          </w:tcPr>
          <w:p>
            <w:pPr>
              <w:pStyle w:val="13"/>
            </w:pPr>
            <w:r>
              <w:t>支付及时率</w:t>
            </w:r>
          </w:p>
        </w:tc>
        <w:tc>
          <w:tcPr>
            <w:tcW w:w="1276" w:type="dxa"/>
            <w:vAlign w:val="center"/>
          </w:tcPr>
          <w:p>
            <w:pPr>
              <w:pStyle w:val="13"/>
            </w:pPr>
            <w:r>
              <w:t>≥95百分比</w:t>
            </w:r>
          </w:p>
        </w:tc>
        <w:tc>
          <w:tcPr>
            <w:tcW w:w="1843" w:type="dxa"/>
            <w:vAlign w:val="center"/>
          </w:tcPr>
          <w:p>
            <w:pPr>
              <w:pStyle w:val="13"/>
            </w:pPr>
            <w:r>
              <w:t>中央冀财政法（2022）55号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通过公正的司法活动,保障人民群众的公平正义</w:t>
            </w:r>
          </w:p>
        </w:tc>
        <w:tc>
          <w:tcPr>
            <w:tcW w:w="1276" w:type="dxa"/>
            <w:vAlign w:val="center"/>
          </w:tcPr>
          <w:p>
            <w:pPr>
              <w:pStyle w:val="13"/>
            </w:pPr>
            <w:r>
              <w:t>≥92百分比</w:t>
            </w:r>
          </w:p>
        </w:tc>
        <w:tc>
          <w:tcPr>
            <w:tcW w:w="1843" w:type="dxa"/>
            <w:vAlign w:val="center"/>
          </w:tcPr>
          <w:p>
            <w:pPr>
              <w:pStyle w:val="13"/>
            </w:pPr>
            <w:r>
              <w:t>中央冀财政法（2022）55号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群众满意度</w:t>
            </w:r>
          </w:p>
        </w:tc>
        <w:tc>
          <w:tcPr>
            <w:tcW w:w="1276" w:type="dxa"/>
            <w:vAlign w:val="center"/>
          </w:tcPr>
          <w:p>
            <w:pPr>
              <w:pStyle w:val="13"/>
            </w:pPr>
            <w:r>
              <w:t>≥93百分比</w:t>
            </w:r>
          </w:p>
        </w:tc>
        <w:tc>
          <w:tcPr>
            <w:tcW w:w="1843" w:type="dxa"/>
            <w:vAlign w:val="center"/>
          </w:tcPr>
          <w:p>
            <w:pPr>
              <w:pStyle w:val="13"/>
            </w:pPr>
            <w:r>
              <w:t>中央冀财政法（2022）55号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M4ZGZmOTQ3ZmJmMTgzMjE5NmFjNzQwZTZmMjRhYmUifQ=="/>
  </w:docVars>
  <w:rsids>
    <w:rsidRoot w:val="00000000"/>
    <w:rsid w:val="0993046C"/>
    <w:rsid w:val="0DD73C46"/>
    <w:rsid w:val="164D0F49"/>
    <w:rsid w:val="2E632F24"/>
    <w:rsid w:val="389637D7"/>
    <w:rsid w:val="545303A7"/>
    <w:rsid w:val="54AB4AB2"/>
    <w:rsid w:val="600A4D82"/>
    <w:rsid w:val="652056F7"/>
    <w:rsid w:val="6D633D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2024-02-20T09:48:54Z</dcterms:created>
  <dcterms:modified xsi:type="dcterms:W3CDTF">2024-02-20T01:48:54Z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2024-02-20T09:48:55Z</dcterms:created>
  <dcterms:modified xsi:type="dcterms:W3CDTF">2024-02-20T01:48:55Z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2024-02-20T09:48:55Z</dcterms:created>
  <dcterms:modified xsi:type="dcterms:W3CDTF">2024-02-20T01:48:55Z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2024-02-20T09:48:55Z</dcterms:created>
  <dcterms:modified xsi:type="dcterms:W3CDTF">2024-02-20T01:48:55Z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2024-02-20T09:48:54Z</dcterms:created>
  <dcterms:modified xsi:type="dcterms:W3CDTF">2024-02-20T01:48:54Z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2024-02-20T09:48:54Z</dcterms:created>
  <dcterms:modified xsi:type="dcterms:W3CDTF">2024-02-20T01:48:54Z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2024-02-20T09:48:53Z</dcterms:created>
  <dcterms:modified xsi:type="dcterms:W3CDTF">2024-02-20T01:48:53Z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2024-02-20T09:48:54Z</dcterms:created>
  <dcterms:modified xsi:type="dcterms:W3CDTF">2024-02-20T01:48:54Z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2024-02-20T09:48:53Z</dcterms:created>
  <dcterms:modified xsi:type="dcterms:W3CDTF">2024-02-20T01:48:53Z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2024-02-20T09:48:53Z</dcterms:created>
  <dcterms:modified xsi:type="dcterms:W3CDTF">2024-02-20T01:48:53Z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0669779-cb9f-4f00-a042-f6742f2cd6b4}">
  <ds:schemaRefs/>
</ds:datastoreItem>
</file>

<file path=customXml/itemProps10.xml><?xml version="1.0" encoding="utf-8"?>
<ds:datastoreItem xmlns:ds="http://schemas.openxmlformats.org/officeDocument/2006/customXml" ds:itemID="{f15b0c2a-1164-4bcf-8a23-821483f27137}">
  <ds:schemaRefs/>
</ds:datastoreItem>
</file>

<file path=customXml/itemProps11.xml><?xml version="1.0" encoding="utf-8"?>
<ds:datastoreItem xmlns:ds="http://schemas.openxmlformats.org/officeDocument/2006/customXml" ds:itemID="{31dca3fe-59a8-4af7-9a6d-d8408ea631b4}">
  <ds:schemaRefs/>
</ds:datastoreItem>
</file>

<file path=customXml/itemProps12.xml><?xml version="1.0" encoding="utf-8"?>
<ds:datastoreItem xmlns:ds="http://schemas.openxmlformats.org/officeDocument/2006/customXml" ds:itemID="{27f3f4a0-7fb9-4881-acd7-861685c3248e}">
  <ds:schemaRefs/>
</ds:datastoreItem>
</file>

<file path=customXml/itemProps13.xml><?xml version="1.0" encoding="utf-8"?>
<ds:datastoreItem xmlns:ds="http://schemas.openxmlformats.org/officeDocument/2006/customXml" ds:itemID="{f7935d0d-52ee-4cb5-bbf6-1732b8fcdfc3}">
  <ds:schemaRefs/>
</ds:datastoreItem>
</file>

<file path=customXml/itemProps14.xml><?xml version="1.0" encoding="utf-8"?>
<ds:datastoreItem xmlns:ds="http://schemas.openxmlformats.org/officeDocument/2006/customXml" ds:itemID="{74d0ac89-ff14-4d25-810e-788585be6bf1}">
  <ds:schemaRefs/>
</ds:datastoreItem>
</file>

<file path=customXml/itemProps15.xml><?xml version="1.0" encoding="utf-8"?>
<ds:datastoreItem xmlns:ds="http://schemas.openxmlformats.org/officeDocument/2006/customXml" ds:itemID="{2658d678-8331-4d03-ba1d-43fbc6515e09}">
  <ds:schemaRefs/>
</ds:datastoreItem>
</file>

<file path=customXml/itemProps16.xml><?xml version="1.0" encoding="utf-8"?>
<ds:datastoreItem xmlns:ds="http://schemas.openxmlformats.org/officeDocument/2006/customXml" ds:itemID="{5a2de931-7d13-4b69-b20f-e1aef3306e1c}">
  <ds:schemaRefs/>
</ds:datastoreItem>
</file>

<file path=customXml/itemProps17.xml><?xml version="1.0" encoding="utf-8"?>
<ds:datastoreItem xmlns:ds="http://schemas.openxmlformats.org/officeDocument/2006/customXml" ds:itemID="{7acf777b-6513-478d-b20f-6237548fb175}">
  <ds:schemaRefs/>
</ds:datastoreItem>
</file>

<file path=customXml/itemProps18.xml><?xml version="1.0" encoding="utf-8"?>
<ds:datastoreItem xmlns:ds="http://schemas.openxmlformats.org/officeDocument/2006/customXml" ds:itemID="{a0a12b74-2eae-47f2-80b6-62a480b5ab05}">
  <ds:schemaRefs/>
</ds:datastoreItem>
</file>

<file path=customXml/itemProps19.xml><?xml version="1.0" encoding="utf-8"?>
<ds:datastoreItem xmlns:ds="http://schemas.openxmlformats.org/officeDocument/2006/customXml" ds:itemID="{2da13c6e-9c39-4fb5-aeff-8ce963c09503}">
  <ds:schemaRefs/>
</ds:datastoreItem>
</file>

<file path=customXml/itemProps2.xml><?xml version="1.0" encoding="utf-8"?>
<ds:datastoreItem xmlns:ds="http://schemas.openxmlformats.org/officeDocument/2006/customXml" ds:itemID="{e3bc9f88-ec5c-4ab5-a407-15c62b414841}">
  <ds:schemaRefs/>
</ds:datastoreItem>
</file>

<file path=customXml/itemProps20.xml><?xml version="1.0" encoding="utf-8"?>
<ds:datastoreItem xmlns:ds="http://schemas.openxmlformats.org/officeDocument/2006/customXml" ds:itemID="{8c6e2045-7448-459a-9112-423e167ba12c}">
  <ds:schemaRefs/>
</ds:datastoreItem>
</file>

<file path=customXml/itemProps3.xml><?xml version="1.0" encoding="utf-8"?>
<ds:datastoreItem xmlns:ds="http://schemas.openxmlformats.org/officeDocument/2006/customXml" ds:itemID="{8bd2ad43-c06d-40e2-9eb6-5b55cb71aea9}">
  <ds:schemaRefs/>
</ds:datastoreItem>
</file>

<file path=customXml/itemProps4.xml><?xml version="1.0" encoding="utf-8"?>
<ds:datastoreItem xmlns:ds="http://schemas.openxmlformats.org/officeDocument/2006/customXml" ds:itemID="{82349218-5957-414d-92d8-d932ceb5f5da}">
  <ds:schemaRefs/>
</ds:datastoreItem>
</file>

<file path=customXml/itemProps5.xml><?xml version="1.0" encoding="utf-8"?>
<ds:datastoreItem xmlns:ds="http://schemas.openxmlformats.org/officeDocument/2006/customXml" ds:itemID="{53b0351d-06e0-4c05-98e1-09dfe12df461}">
  <ds:schemaRefs/>
</ds:datastoreItem>
</file>

<file path=customXml/itemProps6.xml><?xml version="1.0" encoding="utf-8"?>
<ds:datastoreItem xmlns:ds="http://schemas.openxmlformats.org/officeDocument/2006/customXml" ds:itemID="{e9ea6e75-27e8-4287-b759-6f0bb67b32aa}">
  <ds:schemaRefs/>
</ds:datastoreItem>
</file>

<file path=customXml/itemProps7.xml><?xml version="1.0" encoding="utf-8"?>
<ds:datastoreItem xmlns:ds="http://schemas.openxmlformats.org/officeDocument/2006/customXml" ds:itemID="{8334759e-1d01-4b5f-bbeb-c98edc61026b}">
  <ds:schemaRefs/>
</ds:datastoreItem>
</file>

<file path=customXml/itemProps8.xml><?xml version="1.0" encoding="utf-8"?>
<ds:datastoreItem xmlns:ds="http://schemas.openxmlformats.org/officeDocument/2006/customXml" ds:itemID="{3484900c-39a8-45a9-aaf9-c7169d616385}">
  <ds:schemaRefs/>
</ds:datastoreItem>
</file>

<file path=customXml/itemProps9.xml><?xml version="1.0" encoding="utf-8"?>
<ds:datastoreItem xmlns:ds="http://schemas.openxmlformats.org/officeDocument/2006/customXml" ds:itemID="{8615fd84-08cd-4c77-bbab-b22d20803a35}">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2024-02-20T09:48:00Z</dcterms:created>
  <dc:creator>Administrator</dc:creator>
  <cp:lastModifiedBy>宣化区人民检察院</cp:lastModifiedBy>
  <dcterms:modified xsi:type="dcterms:W3CDTF">2024-03-11T03:08:27Z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CBD37490913244269562DB9C8EAA0865_12</vt:lpwstr>
  </property>
</Properties>
</file>